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7B" w:rsidRDefault="007A6535">
      <w:pPr>
        <w:jc w:val="center"/>
        <w:rPr>
          <w:rFonts w:ascii="Comic Sans MS" w:hAnsi="Comic Sans MS"/>
          <w:b/>
          <w:sz w:val="28"/>
          <w:szCs w:val="28"/>
        </w:rPr>
      </w:pPr>
      <w:r>
        <w:rPr>
          <w:rFonts w:ascii="Comic Sans MS" w:hAnsi="Comic Sans MS"/>
          <w:b/>
          <w:noProof/>
          <w:color w:val="FF0000"/>
          <w:sz w:val="28"/>
          <w:szCs w:val="28"/>
          <w:lang w:eastAsia="fr-FR"/>
        </w:rPr>
        <mc:AlternateContent>
          <mc:Choice Requires="wpg">
            <w:drawing>
              <wp:anchor distT="0" distB="0" distL="114300" distR="114300" simplePos="0" relativeHeight="251659264" behindDoc="0" locked="0" layoutInCell="1" allowOverlap="1">
                <wp:simplePos x="0" y="0"/>
                <wp:positionH relativeFrom="column">
                  <wp:posOffset>-415701</wp:posOffset>
                </wp:positionH>
                <wp:positionV relativeFrom="paragraph">
                  <wp:posOffset>-338861</wp:posOffset>
                </wp:positionV>
                <wp:extent cx="6631321" cy="9658831"/>
                <wp:effectExtent l="19050" t="19050" r="36195" b="38100"/>
                <wp:wrapNone/>
                <wp:docPr id="1" name="Rectangle à coins arrondis 1"/>
                <wp:cNvGraphicFramePr/>
                <a:graphic xmlns:a="http://schemas.openxmlformats.org/drawingml/2006/main">
                  <a:graphicData uri="http://schemas.microsoft.com/office/word/2010/wordprocessingShape">
                    <wps:wsp>
                      <wps:cNvSpPr/>
                      <wps:spPr bwMode="auto">
                        <a:xfrm>
                          <a:off x="0" y="0"/>
                          <a:ext cx="6631321" cy="9658831"/>
                        </a:xfrm>
                        <a:prstGeom prst="roundRect">
                          <a:avLst>
                            <a:gd name="adj" fmla="val 16667"/>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V relativeFrom="margin">
                  <wp14:pctHeight>0</wp14:pctHeight>
                </wp14:sizeRelV>
              </wp:anchor>
            </w:drawing>
          </mc:Choice>
          <mc:Fallback xmlns:a="http://schemas.openxmlformats.org/drawingml/2006/main">
            <w:pict>
              <v:shape id="shape 0" o:spid="_x0000_s0" o:spt="2" style="position:absolute;mso-wrap-distance-left:9.0pt;mso-wrap-distance-top:0.0pt;mso-wrap-distance-right:9.0pt;mso-wrap-distance-bottom:0.0pt;z-index:251659264;o:allowoverlap:true;o:allowincell:true;mso-position-horizontal-relative:text;margin-left:-32.7pt;mso-position-horizontal:absolute;mso-position-vertical-relative:text;margin-top:-26.7pt;mso-position-vertical:absolute;width:522.2pt;height:760.5pt;" coordsize="100000,100000" path="m0,11442l0,11442c0,5165,7523,0,16666,0c16666,0,16666,0,16666,0l83333,0l83333,0c92476,0,99999,5165,99999,11442l99999,11442c99999,11442,99999,11442,99999,11442l99999,88556l99999,88556c99999,88556,99999,88556,99999,88556l99999,88556c99999,94833,92476,99998,83333,99998c83333,99998,83333,99998,83333,99998l16666,100000l16666,100000c7523,100000,0,94835,0,88558c0,88558,0,88558,0,88558xe" filled="f" strokecolor="#FF0000" strokeweight="4.50pt">
                <v:path textboxrect="4878,3349,95117,96648"/>
              </v:shape>
            </w:pict>
          </mc:Fallback>
        </mc:AlternateContent>
      </w:r>
      <w:r>
        <w:rPr>
          <w:rFonts w:ascii="Comic Sans MS" w:hAnsi="Comic Sans MS"/>
          <w:b/>
          <w:sz w:val="28"/>
          <w:szCs w:val="28"/>
        </w:rPr>
        <w:t>ECOLE OUVERTE CAMPAGNE 2021</w:t>
      </w:r>
    </w:p>
    <w:p w:rsidR="00D6167B" w:rsidRPr="007A6535" w:rsidRDefault="007A6535">
      <w:pPr>
        <w:jc w:val="center"/>
        <w:rPr>
          <w:rFonts w:ascii="Comic Sans MS" w:hAnsi="Comic Sans MS"/>
          <w:i/>
          <w:color w:val="1F4E79" w:themeColor="accent1" w:themeShade="80"/>
        </w:rPr>
      </w:pPr>
      <w:r w:rsidRPr="007A6535">
        <w:rPr>
          <w:rFonts w:ascii="Comic Sans MS" w:hAnsi="Comic Sans MS"/>
          <w:i/>
          <w:color w:val="1F4E79" w:themeColor="accent1" w:themeShade="80"/>
        </w:rPr>
        <w:t>Résister par le corps et la danse</w:t>
      </w:r>
    </w:p>
    <w:p w:rsidR="00D6167B" w:rsidRPr="007A6535" w:rsidRDefault="007A6535">
      <w:pPr>
        <w:tabs>
          <w:tab w:val="left" w:pos="2365"/>
        </w:tabs>
        <w:spacing w:after="0" w:line="240" w:lineRule="auto"/>
        <w:rPr>
          <w:color w:val="1F4E79" w:themeColor="accent1" w:themeShade="80"/>
        </w:rPr>
      </w:pPr>
      <w:r>
        <w:rPr>
          <w:b/>
        </w:rPr>
        <w:t>Site </w:t>
      </w:r>
      <w:r>
        <w:t xml:space="preserve">: </w:t>
      </w:r>
      <w:r w:rsidR="00C133B8" w:rsidRPr="007A6535">
        <w:rPr>
          <w:color w:val="1F4E79" w:themeColor="accent1" w:themeShade="80"/>
        </w:rPr>
        <w:t>Centre d’Histoire de la Résistance et de la Déportation</w:t>
      </w:r>
      <w:r w:rsidRPr="007A6535">
        <w:rPr>
          <w:color w:val="1F4E79" w:themeColor="accent1" w:themeShade="80"/>
        </w:rPr>
        <w:t xml:space="preserve"> (dans le cadre de la résidence de la compagnie Stylistik</w:t>
      </w:r>
      <w:r>
        <w:rPr>
          <w:color w:val="1F4E79" w:themeColor="accent1" w:themeShade="80"/>
        </w:rPr>
        <w:t>)</w:t>
      </w:r>
    </w:p>
    <w:p w:rsidR="00D6167B" w:rsidRDefault="007A6535">
      <w:pPr>
        <w:spacing w:after="0" w:line="240" w:lineRule="auto"/>
        <w:rPr>
          <w:i/>
        </w:rPr>
      </w:pPr>
      <w:r>
        <w:rPr>
          <w:b/>
        </w:rPr>
        <w:t>Budget :</w:t>
      </w:r>
      <w:r w:rsidR="00C133B8">
        <w:t xml:space="preserve">  </w:t>
      </w:r>
      <w:r w:rsidR="00C133B8" w:rsidRPr="007A6535">
        <w:rPr>
          <w:color w:val="1F4E79" w:themeColor="accent1" w:themeShade="80"/>
        </w:rPr>
        <w:t>90 à 135</w:t>
      </w:r>
      <w:r w:rsidRPr="007A6535">
        <w:rPr>
          <w:color w:val="1F4E79" w:themeColor="accent1" w:themeShade="80"/>
        </w:rPr>
        <w:t xml:space="preserve"> </w:t>
      </w:r>
      <w:r w:rsidRPr="007A6535">
        <w:rPr>
          <w:i/>
          <w:color w:val="1F4E79" w:themeColor="accent1" w:themeShade="80"/>
        </w:rPr>
        <w:t xml:space="preserve">€ </w:t>
      </w:r>
      <w:r>
        <w:rPr>
          <w:i/>
        </w:rPr>
        <w:t>par journée pour un groupe (préciser : repas compris. Repas non compris mais possibilité de pique-nique. Repas non compris, pas de possibilité de pique-nique.</w:t>
      </w:r>
    </w:p>
    <w:p w:rsidR="00D6167B" w:rsidRDefault="007A6535">
      <w:pPr>
        <w:spacing w:after="0" w:line="240" w:lineRule="auto"/>
        <w:rPr>
          <w:i/>
        </w:rPr>
      </w:pPr>
      <w:r>
        <w:rPr>
          <w:b/>
        </w:rPr>
        <w:t>Transports</w:t>
      </w:r>
      <w:r>
        <w:rPr>
          <w:i/>
        </w:rPr>
        <w:t xml:space="preserve"> compris dans le prix ou </w:t>
      </w:r>
      <w:r>
        <w:rPr>
          <w:i/>
        </w:rPr>
        <w:t>à prévoir</w:t>
      </w:r>
    </w:p>
    <w:p w:rsidR="00D6167B" w:rsidRPr="007A6535" w:rsidRDefault="007A6535">
      <w:pPr>
        <w:spacing w:after="0" w:line="240" w:lineRule="auto"/>
        <w:rPr>
          <w:color w:val="1F4E79" w:themeColor="accent1" w:themeShade="80"/>
        </w:rPr>
      </w:pPr>
      <w:r>
        <w:rPr>
          <w:b/>
        </w:rPr>
        <w:t>Interventions</w:t>
      </w:r>
      <w:r>
        <w:rPr>
          <w:i/>
        </w:rPr>
        <w:t xml:space="preserve"> : </w:t>
      </w:r>
      <w:r w:rsidR="00C133B8" w:rsidRPr="007A6535">
        <w:rPr>
          <w:i/>
          <w:color w:val="1F4E79" w:themeColor="accent1" w:themeShade="80"/>
        </w:rPr>
        <w:t>45 € par animation</w:t>
      </w:r>
      <w:r w:rsidR="00C133B8">
        <w:rPr>
          <w:i/>
        </w:rPr>
        <w:t xml:space="preserve">, le profil des intervenants : </w:t>
      </w:r>
      <w:r w:rsidR="00C133B8" w:rsidRPr="007A6535">
        <w:rPr>
          <w:i/>
          <w:color w:val="1F4E79" w:themeColor="accent1" w:themeShade="80"/>
        </w:rPr>
        <w:t>médiateur culturel et chorégraphe-danseur</w:t>
      </w:r>
    </w:p>
    <w:p w:rsidR="00D6167B" w:rsidRPr="007A6535" w:rsidRDefault="007A6535">
      <w:pPr>
        <w:spacing w:after="0" w:line="240" w:lineRule="auto"/>
        <w:rPr>
          <w:b/>
          <w:color w:val="1F4E79" w:themeColor="accent1" w:themeShade="80"/>
        </w:rPr>
      </w:pPr>
      <w:r>
        <w:rPr>
          <w:b/>
        </w:rPr>
        <w:t>Horaires :</w:t>
      </w:r>
      <w:r w:rsidR="00C133B8">
        <w:rPr>
          <w:b/>
        </w:rPr>
        <w:t xml:space="preserve"> </w:t>
      </w:r>
      <w:r w:rsidR="00C133B8" w:rsidRPr="007A6535">
        <w:rPr>
          <w:b/>
          <w:color w:val="1F4E79" w:themeColor="accent1" w:themeShade="80"/>
        </w:rPr>
        <w:t>jeudi 8 et vendredi 9 juillet (matin : visite et rencontre / atelier danse : après midi)</w:t>
      </w:r>
    </w:p>
    <w:p w:rsidR="00D6167B" w:rsidRDefault="007A6535">
      <w:pPr>
        <w:spacing w:after="0" w:line="240" w:lineRule="auto"/>
      </w:pPr>
      <w:r>
        <w:rPr>
          <w:b/>
        </w:rPr>
        <w:t>Période :</w:t>
      </w:r>
      <w:r>
        <w:t xml:space="preserve"> </w:t>
      </w:r>
      <w:r w:rsidR="00C133B8" w:rsidRPr="007A6535">
        <w:rPr>
          <w:i/>
          <w:color w:val="1F4E79" w:themeColor="accent1" w:themeShade="80"/>
        </w:rPr>
        <w:t>1 groupe par journée</w:t>
      </w:r>
      <w:bookmarkStart w:id="0" w:name="_GoBack"/>
      <w:bookmarkEnd w:id="0"/>
    </w:p>
    <w:p w:rsidR="00D6167B" w:rsidRPr="007A6535" w:rsidRDefault="007A6535">
      <w:pPr>
        <w:spacing w:after="0" w:line="240" w:lineRule="auto"/>
        <w:rPr>
          <w:color w:val="1F4E79" w:themeColor="accent1" w:themeShade="80"/>
        </w:rPr>
      </w:pPr>
      <w:r>
        <w:rPr>
          <w:b/>
        </w:rPr>
        <w:t>Groupe</w:t>
      </w:r>
      <w:r>
        <w:t xml:space="preserve"> </w:t>
      </w:r>
      <w:r>
        <w:rPr>
          <w:i/>
        </w:rPr>
        <w:t>de 15 élèves (préciser si besoin l’âge)</w:t>
      </w:r>
      <w:r w:rsidR="00C133B8">
        <w:rPr>
          <w:i/>
        </w:rPr>
        <w:t xml:space="preserve"> : </w:t>
      </w:r>
      <w:r w:rsidR="00C133B8" w:rsidRPr="007A6535">
        <w:rPr>
          <w:i/>
          <w:color w:val="1F4E79" w:themeColor="accent1" w:themeShade="80"/>
        </w:rPr>
        <w:t>8- 12 ans ou 12 – 15 ans</w:t>
      </w:r>
    </w:p>
    <w:p w:rsidR="00D6167B" w:rsidRDefault="00D6167B">
      <w:pPr>
        <w:spacing w:after="0" w:line="240" w:lineRule="auto"/>
      </w:pPr>
    </w:p>
    <w:p w:rsidR="00D6167B" w:rsidRDefault="00D6167B">
      <w:pPr>
        <w:spacing w:after="0" w:line="240" w:lineRule="auto"/>
      </w:pPr>
    </w:p>
    <w:tbl>
      <w:tblPr>
        <w:tblStyle w:val="Grilledutableau"/>
        <w:tblW w:w="0" w:type="auto"/>
        <w:tblLook w:val="04A0" w:firstRow="1" w:lastRow="0" w:firstColumn="1" w:lastColumn="0" w:noHBand="0" w:noVBand="1"/>
      </w:tblPr>
      <w:tblGrid>
        <w:gridCol w:w="846"/>
        <w:gridCol w:w="2835"/>
        <w:gridCol w:w="2693"/>
        <w:gridCol w:w="2688"/>
      </w:tblGrid>
      <w:tr w:rsidR="00D6167B">
        <w:tc>
          <w:tcPr>
            <w:tcW w:w="846" w:type="dxa"/>
          </w:tcPr>
          <w:p w:rsidR="00D6167B" w:rsidRDefault="00D6167B"/>
        </w:tc>
        <w:tc>
          <w:tcPr>
            <w:tcW w:w="2835" w:type="dxa"/>
          </w:tcPr>
          <w:p w:rsidR="00D6167B" w:rsidRDefault="007A6535">
            <w:pPr>
              <w:rPr>
                <w:b/>
              </w:rPr>
            </w:pPr>
            <w:r>
              <w:rPr>
                <w:b/>
              </w:rPr>
              <w:t>VISITE</w:t>
            </w:r>
          </w:p>
        </w:tc>
        <w:tc>
          <w:tcPr>
            <w:tcW w:w="2693" w:type="dxa"/>
          </w:tcPr>
          <w:p w:rsidR="00D6167B" w:rsidRDefault="007A6535">
            <w:pPr>
              <w:rPr>
                <w:b/>
              </w:rPr>
            </w:pPr>
            <w:r>
              <w:rPr>
                <w:b/>
              </w:rPr>
              <w:t xml:space="preserve">RENCONTRE </w:t>
            </w:r>
          </w:p>
        </w:tc>
        <w:tc>
          <w:tcPr>
            <w:tcW w:w="2688" w:type="dxa"/>
          </w:tcPr>
          <w:p w:rsidR="00D6167B" w:rsidRDefault="007A6535">
            <w:pPr>
              <w:rPr>
                <w:b/>
              </w:rPr>
            </w:pPr>
            <w:r>
              <w:rPr>
                <w:b/>
              </w:rPr>
              <w:t>PRATIQUE</w:t>
            </w:r>
          </w:p>
        </w:tc>
      </w:tr>
      <w:tr w:rsidR="00D6167B">
        <w:trPr>
          <w:cantSplit/>
          <w:trHeight w:val="1134"/>
        </w:trPr>
        <w:tc>
          <w:tcPr>
            <w:tcW w:w="846" w:type="dxa"/>
            <w:textDirection w:val="btLr"/>
          </w:tcPr>
          <w:p w:rsidR="00D6167B" w:rsidRDefault="007A6535">
            <w:pPr>
              <w:ind w:left="113" w:right="113"/>
              <w:rPr>
                <w:b/>
              </w:rPr>
            </w:pPr>
            <w:r>
              <w:rPr>
                <w:b/>
              </w:rPr>
              <w:t>CONTENUS</w:t>
            </w:r>
          </w:p>
        </w:tc>
        <w:tc>
          <w:tcPr>
            <w:tcW w:w="2835" w:type="dxa"/>
          </w:tcPr>
          <w:p w:rsidR="00D6167B" w:rsidRDefault="00D6167B"/>
          <w:p w:rsidR="00D6167B" w:rsidRDefault="00C133B8">
            <w:r>
              <w:t xml:space="preserve">Visite autour de la Résistance : </w:t>
            </w:r>
          </w:p>
          <w:p w:rsidR="00C133B8" w:rsidRDefault="00C133B8" w:rsidP="00C133B8">
            <w:pPr>
              <w:pStyle w:val="Paragraphedeliste"/>
              <w:numPr>
                <w:ilvl w:val="0"/>
                <w:numId w:val="1"/>
              </w:numPr>
            </w:pPr>
            <w:r>
              <w:t>Visite-lecture Le petit passeur (cycle 3)</w:t>
            </w:r>
          </w:p>
          <w:p w:rsidR="00C133B8" w:rsidRDefault="00C133B8" w:rsidP="00C133B8">
            <w:pPr>
              <w:pStyle w:val="Paragraphedeliste"/>
              <w:numPr>
                <w:ilvl w:val="0"/>
                <w:numId w:val="1"/>
              </w:numPr>
            </w:pPr>
            <w:r>
              <w:t>Visite thématique Résistances (collège)</w:t>
            </w:r>
          </w:p>
          <w:p w:rsidR="00D6167B" w:rsidRDefault="00D6167B"/>
          <w:p w:rsidR="00D6167B" w:rsidRDefault="00D6167B"/>
          <w:p w:rsidR="00D6167B" w:rsidRDefault="00D6167B"/>
          <w:p w:rsidR="00D6167B" w:rsidRDefault="00D6167B"/>
          <w:p w:rsidR="00D6167B" w:rsidRDefault="00D6167B"/>
          <w:p w:rsidR="00D6167B" w:rsidRDefault="00D6167B"/>
          <w:p w:rsidR="00D6167B" w:rsidRDefault="00D6167B"/>
          <w:p w:rsidR="00D6167B" w:rsidRDefault="00D6167B"/>
        </w:tc>
        <w:tc>
          <w:tcPr>
            <w:tcW w:w="2693" w:type="dxa"/>
          </w:tcPr>
          <w:p w:rsidR="00D6167B" w:rsidRDefault="00C133B8">
            <w:r>
              <w:t>Temps d’échange avec le médiateur et le chorégraphe-danseur Abdou N’Gom de la compagnie Stylistik autour des thématiques de la Résistance, exil, migration et enfermement</w:t>
            </w:r>
          </w:p>
        </w:tc>
        <w:tc>
          <w:tcPr>
            <w:tcW w:w="2688" w:type="dxa"/>
          </w:tcPr>
          <w:p w:rsidR="00D6167B" w:rsidRDefault="00C133B8">
            <w:r>
              <w:t xml:space="preserve">Atelier danse contemporaine et hip hop : </w:t>
            </w:r>
          </w:p>
          <w:p w:rsidR="00C133B8" w:rsidRDefault="00C133B8" w:rsidP="00C133B8">
            <w:pPr>
              <w:pStyle w:val="Paragraphedeliste"/>
              <w:numPr>
                <w:ilvl w:val="0"/>
                <w:numId w:val="1"/>
              </w:numPr>
            </w:pPr>
            <w:r>
              <w:t>Aborder des mouvements précis</w:t>
            </w:r>
          </w:p>
          <w:p w:rsidR="00C133B8" w:rsidRDefault="00C133B8" w:rsidP="00C133B8">
            <w:pPr>
              <w:pStyle w:val="Paragraphedeliste"/>
              <w:numPr>
                <w:ilvl w:val="0"/>
                <w:numId w:val="1"/>
              </w:numPr>
            </w:pPr>
            <w:r>
              <w:t>S’exprimer par le corps et le mouvement dansé</w:t>
            </w:r>
          </w:p>
          <w:p w:rsidR="00C133B8" w:rsidRDefault="00C133B8" w:rsidP="00C133B8">
            <w:pPr>
              <w:pStyle w:val="Paragraphedeliste"/>
              <w:numPr>
                <w:ilvl w:val="0"/>
                <w:numId w:val="1"/>
              </w:numPr>
            </w:pPr>
            <w:r>
              <w:t>Créer un enchainement dansé</w:t>
            </w:r>
          </w:p>
        </w:tc>
      </w:tr>
      <w:tr w:rsidR="00D6167B">
        <w:trPr>
          <w:cantSplit/>
          <w:trHeight w:val="1134"/>
        </w:trPr>
        <w:tc>
          <w:tcPr>
            <w:tcW w:w="846" w:type="dxa"/>
            <w:textDirection w:val="btLr"/>
          </w:tcPr>
          <w:p w:rsidR="00D6167B" w:rsidRDefault="007A6535">
            <w:pPr>
              <w:ind w:left="113" w:right="113"/>
              <w:rPr>
                <w:b/>
              </w:rPr>
            </w:pPr>
            <w:r>
              <w:rPr>
                <w:b/>
              </w:rPr>
              <w:lastRenderedPageBreak/>
              <w:t>OBJECTIFS</w:t>
            </w:r>
          </w:p>
        </w:tc>
        <w:tc>
          <w:tcPr>
            <w:tcW w:w="2835" w:type="dxa"/>
          </w:tcPr>
          <w:p w:rsidR="00D6167B" w:rsidRDefault="00D6167B"/>
          <w:p w:rsidR="00D6167B" w:rsidRDefault="00D6167B"/>
          <w:p w:rsidR="00C133B8" w:rsidRDefault="00C133B8" w:rsidP="00C133B8">
            <w:pPr>
              <w:numPr>
                <w:ilvl w:val="0"/>
                <w:numId w:val="2"/>
              </w:numPr>
              <w:pBdr>
                <w:top w:val="none" w:sz="0" w:space="0" w:color="auto"/>
                <w:left w:val="none" w:sz="0" w:space="0" w:color="auto"/>
                <w:bottom w:val="none" w:sz="0" w:space="0" w:color="auto"/>
                <w:right w:val="none" w:sz="0" w:space="0" w:color="auto"/>
                <w:between w:val="none" w:sz="0" w:space="0" w:color="auto"/>
              </w:pBdr>
              <w:suppressAutoHyphens/>
            </w:pPr>
            <w:r>
              <w:rPr>
                <w:rFonts w:eastAsia="Cambria"/>
              </w:rPr>
              <w:t>1</w:t>
            </w:r>
            <w:r>
              <w:rPr>
                <w:rFonts w:eastAsia="Cambria"/>
                <w:vertAlign w:val="superscript"/>
              </w:rPr>
              <w:t>e</w:t>
            </w:r>
            <w:r>
              <w:rPr>
                <w:rFonts w:eastAsia="Cambria"/>
              </w:rPr>
              <w:t xml:space="preserve"> approche de la Seconde Guerre mondiale </w:t>
            </w:r>
          </w:p>
          <w:p w:rsidR="00C133B8" w:rsidRDefault="00C133B8" w:rsidP="00C133B8">
            <w:pPr>
              <w:ind w:left="720"/>
              <w:rPr>
                <w:rFonts w:eastAsia="Cambria"/>
              </w:rPr>
            </w:pPr>
          </w:p>
          <w:p w:rsidR="00C133B8" w:rsidRDefault="00C133B8" w:rsidP="00C133B8">
            <w:pPr>
              <w:numPr>
                <w:ilvl w:val="0"/>
                <w:numId w:val="2"/>
              </w:numPr>
              <w:pBdr>
                <w:top w:val="none" w:sz="0" w:space="0" w:color="auto"/>
                <w:left w:val="none" w:sz="0" w:space="0" w:color="auto"/>
                <w:bottom w:val="none" w:sz="0" w:space="0" w:color="auto"/>
                <w:right w:val="none" w:sz="0" w:space="0" w:color="auto"/>
                <w:between w:val="none" w:sz="0" w:space="0" w:color="auto"/>
              </w:pBdr>
              <w:suppressAutoHyphens/>
            </w:pPr>
            <w:r>
              <w:rPr>
                <w:rFonts w:eastAsia="Cambria"/>
              </w:rPr>
              <w:t xml:space="preserve">Découverte d’un musée (les collections) et d’un lieu de mémoire </w:t>
            </w:r>
          </w:p>
          <w:p w:rsidR="00C133B8" w:rsidRDefault="00C133B8" w:rsidP="00C133B8">
            <w:pPr>
              <w:pStyle w:val="Paragraphedeliste"/>
              <w:rPr>
                <w:rFonts w:eastAsia="Cambria"/>
              </w:rPr>
            </w:pPr>
          </w:p>
          <w:p w:rsidR="00D6167B" w:rsidRDefault="00D6167B"/>
          <w:p w:rsidR="00D6167B" w:rsidRDefault="00D6167B"/>
          <w:p w:rsidR="00D6167B" w:rsidRDefault="00D6167B"/>
          <w:p w:rsidR="00D6167B" w:rsidRDefault="00D6167B"/>
          <w:p w:rsidR="00D6167B" w:rsidRDefault="00D6167B"/>
          <w:p w:rsidR="00D6167B" w:rsidRDefault="00D6167B"/>
          <w:p w:rsidR="00D6167B" w:rsidRDefault="00D6167B"/>
          <w:p w:rsidR="00D6167B" w:rsidRDefault="00D6167B"/>
          <w:p w:rsidR="00D6167B" w:rsidRDefault="00D6167B"/>
        </w:tc>
        <w:tc>
          <w:tcPr>
            <w:tcW w:w="2693" w:type="dxa"/>
          </w:tcPr>
          <w:p w:rsidR="00C133B8" w:rsidRPr="00C133B8" w:rsidRDefault="00C133B8" w:rsidP="00C133B8">
            <w:pPr>
              <w:pBdr>
                <w:top w:val="none" w:sz="0" w:space="0" w:color="auto"/>
                <w:left w:val="none" w:sz="0" w:space="0" w:color="auto"/>
                <w:bottom w:val="none" w:sz="0" w:space="0" w:color="auto"/>
                <w:right w:val="none" w:sz="0" w:space="0" w:color="auto"/>
                <w:between w:val="none" w:sz="0" w:space="0" w:color="auto"/>
              </w:pBdr>
              <w:suppressAutoHyphens/>
            </w:pPr>
          </w:p>
          <w:p w:rsidR="00C133B8" w:rsidRPr="00C133B8" w:rsidRDefault="00C133B8" w:rsidP="00C133B8">
            <w:pPr>
              <w:pBdr>
                <w:top w:val="none" w:sz="0" w:space="0" w:color="auto"/>
                <w:left w:val="none" w:sz="0" w:space="0" w:color="auto"/>
                <w:bottom w:val="none" w:sz="0" w:space="0" w:color="auto"/>
                <w:right w:val="none" w:sz="0" w:space="0" w:color="auto"/>
                <w:between w:val="none" w:sz="0" w:space="0" w:color="auto"/>
              </w:pBdr>
              <w:suppressAutoHyphens/>
              <w:ind w:left="720"/>
            </w:pPr>
          </w:p>
          <w:p w:rsidR="00C133B8" w:rsidRPr="00C133B8" w:rsidRDefault="00C133B8" w:rsidP="00C133B8">
            <w:pPr>
              <w:numPr>
                <w:ilvl w:val="0"/>
                <w:numId w:val="2"/>
              </w:numPr>
              <w:pBdr>
                <w:top w:val="none" w:sz="0" w:space="0" w:color="auto"/>
                <w:left w:val="none" w:sz="0" w:space="0" w:color="auto"/>
                <w:bottom w:val="none" w:sz="0" w:space="0" w:color="auto"/>
                <w:right w:val="none" w:sz="0" w:space="0" w:color="auto"/>
                <w:between w:val="none" w:sz="0" w:space="0" w:color="auto"/>
              </w:pBdr>
              <w:suppressAutoHyphens/>
            </w:pPr>
            <w:r>
              <w:rPr>
                <w:rFonts w:eastAsia="Cambria"/>
              </w:rPr>
              <w:t>Rencontrer et échanger avec les professionnels de la culture</w:t>
            </w:r>
            <w:r>
              <w:rPr>
                <w:rFonts w:eastAsia="Cambria"/>
              </w:rPr>
              <w:t xml:space="preserve"> et du milieu artistique </w:t>
            </w:r>
          </w:p>
          <w:p w:rsidR="00C133B8" w:rsidRDefault="00C133B8" w:rsidP="00C133B8">
            <w:pPr>
              <w:pBdr>
                <w:top w:val="none" w:sz="0" w:space="0" w:color="auto"/>
                <w:left w:val="none" w:sz="0" w:space="0" w:color="auto"/>
                <w:bottom w:val="none" w:sz="0" w:space="0" w:color="auto"/>
                <w:right w:val="none" w:sz="0" w:space="0" w:color="auto"/>
                <w:between w:val="none" w:sz="0" w:space="0" w:color="auto"/>
              </w:pBdr>
              <w:suppressAutoHyphens/>
              <w:rPr>
                <w:rFonts w:eastAsia="Cambria"/>
              </w:rPr>
            </w:pPr>
          </w:p>
          <w:p w:rsidR="00C133B8" w:rsidRDefault="00C133B8" w:rsidP="00C133B8">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pBdr>
              <w:suppressAutoHyphens/>
            </w:pPr>
            <w:r>
              <w:t>Découverte de métiers</w:t>
            </w:r>
          </w:p>
          <w:p w:rsidR="00D6167B" w:rsidRDefault="00D6167B"/>
        </w:tc>
        <w:tc>
          <w:tcPr>
            <w:tcW w:w="2688" w:type="dxa"/>
          </w:tcPr>
          <w:p w:rsidR="00D6167B" w:rsidRDefault="00D6167B"/>
          <w:p w:rsidR="00D6167B" w:rsidRDefault="00D6167B"/>
          <w:p w:rsidR="00C133B8" w:rsidRDefault="00C133B8" w:rsidP="00C133B8">
            <w:pPr>
              <w:pStyle w:val="Paragraphedeliste"/>
              <w:numPr>
                <w:ilvl w:val="0"/>
                <w:numId w:val="2"/>
              </w:numPr>
            </w:pPr>
            <w:r>
              <w:t>S’approprier son corps et développer l’estime de soi</w:t>
            </w:r>
          </w:p>
          <w:p w:rsidR="00C133B8" w:rsidRDefault="00C133B8" w:rsidP="00C133B8">
            <w:pPr>
              <w:pStyle w:val="Paragraphedeliste"/>
              <w:numPr>
                <w:ilvl w:val="0"/>
                <w:numId w:val="2"/>
              </w:numPr>
            </w:pPr>
            <w:r>
              <w:t>Apprendre à s’exprimer par le corps</w:t>
            </w:r>
          </w:p>
          <w:p w:rsidR="00C133B8" w:rsidRDefault="00C133B8" w:rsidP="00C133B8">
            <w:pPr>
              <w:pStyle w:val="Paragraphedeliste"/>
              <w:numPr>
                <w:ilvl w:val="0"/>
                <w:numId w:val="2"/>
              </w:numPr>
            </w:pPr>
            <w:r>
              <w:t>Apprendre à s’écouter et écouter les autres</w:t>
            </w:r>
          </w:p>
          <w:p w:rsidR="00C133B8" w:rsidRDefault="00C133B8" w:rsidP="00C133B8">
            <w:pPr>
              <w:pStyle w:val="Paragraphedeliste"/>
              <w:numPr>
                <w:ilvl w:val="0"/>
                <w:numId w:val="2"/>
              </w:numPr>
            </w:pPr>
            <w:r>
              <w:t xml:space="preserve">Découverte de la danse </w:t>
            </w:r>
          </w:p>
        </w:tc>
      </w:tr>
    </w:tbl>
    <w:p w:rsidR="00D6167B" w:rsidRDefault="00D6167B"/>
    <w:p w:rsidR="00D6167B" w:rsidRDefault="007A6535">
      <w:r>
        <w:t>Présentation rapide du partenaire ou de la structure</w:t>
      </w:r>
    </w:p>
    <w:p w:rsidR="007A6535" w:rsidRPr="007A6535" w:rsidRDefault="007A6535" w:rsidP="007A6535">
      <w:pPr>
        <w:spacing w:after="0" w:line="240" w:lineRule="auto"/>
        <w:rPr>
          <w:b/>
          <w:color w:val="1F4E79" w:themeColor="accent1" w:themeShade="80"/>
          <w:sz w:val="24"/>
          <w:szCs w:val="24"/>
        </w:rPr>
      </w:pPr>
      <w:r w:rsidRPr="007A6535">
        <w:rPr>
          <w:b/>
          <w:color w:val="1F4E79" w:themeColor="accent1" w:themeShade="80"/>
          <w:sz w:val="24"/>
          <w:szCs w:val="24"/>
        </w:rPr>
        <w:t xml:space="preserve">La compagnie STYLISTIK </w:t>
      </w:r>
    </w:p>
    <w:p w:rsidR="007A6535" w:rsidRPr="007A6535" w:rsidRDefault="007A6535" w:rsidP="007A6535">
      <w:pPr>
        <w:spacing w:after="0" w:line="240" w:lineRule="auto"/>
        <w:rPr>
          <w:b/>
          <w:color w:val="1F4E79" w:themeColor="accent1" w:themeShade="80"/>
          <w:sz w:val="24"/>
          <w:szCs w:val="24"/>
        </w:rPr>
      </w:pPr>
    </w:p>
    <w:p w:rsidR="007A6535" w:rsidRPr="007A6535" w:rsidRDefault="007A6535" w:rsidP="007A6535">
      <w:pPr>
        <w:spacing w:after="0" w:line="240" w:lineRule="auto"/>
        <w:rPr>
          <w:rFonts w:cstheme="minorHAnsi"/>
          <w:color w:val="1F4E79" w:themeColor="accent1" w:themeShade="80"/>
          <w:shd w:val="clear" w:color="auto" w:fill="FFFFFF"/>
        </w:rPr>
      </w:pPr>
      <w:r w:rsidRPr="007A6535">
        <w:rPr>
          <w:rFonts w:cstheme="minorHAnsi"/>
          <w:color w:val="1F4E79" w:themeColor="accent1" w:themeShade="80"/>
          <w:shd w:val="clear" w:color="auto" w:fill="FFFFFF"/>
        </w:rPr>
        <w:t xml:space="preserve">La compagnie Stylistik trouve ses racines dans la danse Hip-Hop. Danseur-interprète et chorégraphe, Abdou N’Gom explore le sensible, s’inspirant d’autres formes de gestuelles, telles les arts martiaux qu’il a pratiqués ou encore la danse contact et certaines techniques de portés. </w:t>
      </w:r>
      <w:r w:rsidRPr="007A6535">
        <w:rPr>
          <w:rFonts w:cstheme="minorHAnsi"/>
          <w:color w:val="1F4E79" w:themeColor="accent1" w:themeShade="80"/>
        </w:rPr>
        <w:br/>
      </w:r>
      <w:r w:rsidRPr="007A6535">
        <w:rPr>
          <w:rFonts w:cstheme="minorHAnsi"/>
          <w:color w:val="1F4E79" w:themeColor="accent1" w:themeShade="80"/>
          <w:shd w:val="clear" w:color="auto" w:fill="FFFFFF"/>
        </w:rPr>
        <w:t xml:space="preserve">Il propose une écriture contemporaine personnelle, généreuse, curieuse, empreinte de théâtralité et riche de la « physicalité » qu’il a acquise par ses pratiques sportives. </w:t>
      </w:r>
      <w:r w:rsidRPr="007A6535">
        <w:rPr>
          <w:rFonts w:cstheme="minorHAnsi"/>
          <w:color w:val="1F4E79" w:themeColor="accent1" w:themeShade="80"/>
        </w:rPr>
        <w:br/>
      </w:r>
      <w:r w:rsidRPr="007A6535">
        <w:rPr>
          <w:rFonts w:cstheme="minorHAnsi"/>
          <w:color w:val="1F4E79" w:themeColor="accent1" w:themeShade="80"/>
          <w:shd w:val="clear" w:color="auto" w:fill="FFFFFF"/>
        </w:rPr>
        <w:t xml:space="preserve">Le travail chorégraphique de cette compagnie interroge l’identité, le métissage, l'altérité. </w:t>
      </w:r>
      <w:r w:rsidRPr="007A6535">
        <w:rPr>
          <w:rFonts w:cstheme="minorHAnsi"/>
          <w:color w:val="1F4E79" w:themeColor="accent1" w:themeShade="80"/>
        </w:rPr>
        <w:br/>
      </w:r>
      <w:r w:rsidRPr="007A6535">
        <w:rPr>
          <w:rFonts w:cstheme="minorHAnsi"/>
          <w:color w:val="1F4E79" w:themeColor="accent1" w:themeShade="80"/>
          <w:shd w:val="clear" w:color="auto" w:fill="FFFFFF"/>
        </w:rPr>
        <w:t>Abdou N'gom joue avec la proximité des corps, avec le rapport à l’autre dans la confrontation, dans les contrastes et la résistance.</w:t>
      </w:r>
    </w:p>
    <w:p w:rsidR="007A6535" w:rsidRPr="007A6535" w:rsidRDefault="007A6535" w:rsidP="007A6535">
      <w:pPr>
        <w:spacing w:after="0" w:line="240" w:lineRule="auto"/>
        <w:rPr>
          <w:rFonts w:cstheme="minorHAnsi"/>
          <w:color w:val="1F4E79" w:themeColor="accent1" w:themeShade="80"/>
          <w:sz w:val="24"/>
          <w:szCs w:val="24"/>
          <w:shd w:val="clear" w:color="auto" w:fill="FFFFFF"/>
        </w:rPr>
      </w:pPr>
    </w:p>
    <w:p w:rsidR="007A6535" w:rsidRPr="007A6535" w:rsidRDefault="007A6535" w:rsidP="007A6535">
      <w:pPr>
        <w:spacing w:after="0" w:line="240" w:lineRule="auto"/>
        <w:rPr>
          <w:rFonts w:cstheme="minorHAnsi"/>
          <w:b/>
          <w:color w:val="1F4E79" w:themeColor="accent1" w:themeShade="80"/>
          <w:sz w:val="24"/>
          <w:szCs w:val="24"/>
        </w:rPr>
      </w:pPr>
      <w:r w:rsidRPr="007A6535">
        <w:rPr>
          <w:rFonts w:cstheme="minorHAnsi"/>
          <w:b/>
          <w:color w:val="1F4E79" w:themeColor="accent1" w:themeShade="80"/>
          <w:sz w:val="24"/>
          <w:szCs w:val="24"/>
        </w:rPr>
        <w:t xml:space="preserve">Le CHRD </w:t>
      </w:r>
    </w:p>
    <w:p w:rsidR="007A6535" w:rsidRPr="007A6535" w:rsidRDefault="007A6535" w:rsidP="007A6535">
      <w:pPr>
        <w:spacing w:after="0" w:line="240" w:lineRule="auto"/>
        <w:rPr>
          <w:rFonts w:cstheme="minorHAnsi"/>
          <w:b/>
          <w:color w:val="1F4E79" w:themeColor="accent1" w:themeShade="80"/>
        </w:rPr>
      </w:pPr>
    </w:p>
    <w:p w:rsidR="007A6535" w:rsidRPr="007A6535" w:rsidRDefault="007A6535" w:rsidP="007A6535">
      <w:pPr>
        <w:autoSpaceDE w:val="0"/>
        <w:autoSpaceDN w:val="0"/>
        <w:adjustRightInd w:val="0"/>
        <w:spacing w:after="0" w:line="240" w:lineRule="atLeast"/>
        <w:jc w:val="both"/>
        <w:rPr>
          <w:rFonts w:eastAsia="Times New Roman" w:cstheme="minorHAnsi"/>
          <w:color w:val="1F4E79" w:themeColor="accent1" w:themeShade="80"/>
          <w:lang w:eastAsia="fr-FR"/>
        </w:rPr>
      </w:pPr>
      <w:r w:rsidRPr="007A6535">
        <w:rPr>
          <w:rFonts w:eastAsia="Times New Roman" w:cstheme="minorHAnsi"/>
          <w:color w:val="1F4E79" w:themeColor="accent1" w:themeShade="80"/>
          <w:lang w:eastAsia="fr-FR"/>
        </w:rPr>
        <w:t>Depuis son ouverture en 1992, le CHRD est devenu un lieu incontournable à Lyon et dans la région Rhône-Alpes. Labellisé musée de France, le CHRD présente un parcours permanent s’appuyant sur une approche anthropologique de la période. Créé à partir des collections du musée, objets, archives et témoignages, le parcours dresse le portrait de Lyon pendant la guerre, principalement centré sur la découverte des particularités de la Résistance dans le contexte urbain de la ville de Lyon.</w:t>
      </w:r>
    </w:p>
    <w:p w:rsidR="00D6167B" w:rsidRPr="007A6535" w:rsidRDefault="007A6535" w:rsidP="007A6535">
      <w:pPr>
        <w:spacing w:after="0" w:line="240" w:lineRule="atLeast"/>
        <w:jc w:val="both"/>
        <w:rPr>
          <w:rFonts w:eastAsia="Times New Roman" w:cstheme="minorHAnsi"/>
          <w:color w:val="1F4E79" w:themeColor="accent1" w:themeShade="80"/>
          <w:lang w:eastAsia="fr-FR"/>
        </w:rPr>
      </w:pPr>
      <w:r w:rsidRPr="007A6535">
        <w:rPr>
          <w:rFonts w:eastAsia="Times New Roman" w:cstheme="minorHAnsi"/>
          <w:color w:val="1F4E79" w:themeColor="accent1" w:themeShade="80"/>
          <w:lang w:eastAsia="fr-FR"/>
        </w:rPr>
        <w:t xml:space="preserve">Le CHRD développe une programmation riche et variée à l’attention d’un large public. Parmi les différentes formes d’offre culturelle proposée, une place centrale est accordée aux différentes approches artistiques (théâtre, musique, danse, etc..) à travers des spectacles, des performances ou encore des ateliers artistiques. </w:t>
      </w:r>
    </w:p>
    <w:p w:rsidR="007A6535" w:rsidRDefault="007A6535"/>
    <w:p w:rsidR="00D6167B" w:rsidRDefault="007A6535">
      <w:r>
        <w:t xml:space="preserve">Contact : du responsable auprès de la structure: </w:t>
      </w:r>
    </w:p>
    <w:p w:rsidR="007A6535" w:rsidRPr="007A6535" w:rsidRDefault="007A6535" w:rsidP="007A6535">
      <w:pPr>
        <w:rPr>
          <w:color w:val="1F4E79" w:themeColor="accent1" w:themeShade="80"/>
        </w:rPr>
      </w:pPr>
      <w:r w:rsidRPr="007A6535">
        <w:rPr>
          <w:color w:val="1F4E79" w:themeColor="accent1" w:themeShade="80"/>
        </w:rPr>
        <w:t>Directrice CHRD : Isabelle Rivé</w:t>
      </w:r>
    </w:p>
    <w:p w:rsidR="007A6535" w:rsidRPr="007A6535" w:rsidRDefault="007A6535" w:rsidP="007A6535">
      <w:pPr>
        <w:rPr>
          <w:color w:val="1F4E79" w:themeColor="accent1" w:themeShade="80"/>
        </w:rPr>
      </w:pPr>
      <w:r w:rsidRPr="007A6535">
        <w:rPr>
          <w:color w:val="1F4E79" w:themeColor="accent1" w:themeShade="80"/>
        </w:rPr>
        <w:lastRenderedPageBreak/>
        <w:t>Responsable du service des publics et de la programmation culturelle : Céline Fayet (</w:t>
      </w:r>
      <w:hyperlink r:id="rId7" w:history="1">
        <w:r w:rsidRPr="007A6535">
          <w:rPr>
            <w:rStyle w:val="Lienhypertexte"/>
            <w:color w:val="1F4E79" w:themeColor="accent1" w:themeShade="80"/>
          </w:rPr>
          <w:t>celine.fayet@mairie-lyon.fr</w:t>
        </w:r>
      </w:hyperlink>
      <w:r w:rsidRPr="007A6535">
        <w:rPr>
          <w:color w:val="1F4E79" w:themeColor="accent1" w:themeShade="80"/>
        </w:rPr>
        <w:t xml:space="preserve"> / 04 72 73 99 01)</w:t>
      </w:r>
    </w:p>
    <w:p w:rsidR="007A6535" w:rsidRDefault="007A6535"/>
    <w:p w:rsidR="00D6167B" w:rsidRDefault="007A6535">
      <w:r>
        <w:t xml:space="preserve">Contact DAAC : </w:t>
      </w:r>
      <w:hyperlink r:id="rId8" w:tooltip="mailto:daac@ac-lyon.fr" w:history="1">
        <w:r>
          <w:rPr>
            <w:rStyle w:val="Lienhypertexte"/>
          </w:rPr>
          <w:t>daac@ac-lyon.fr</w:t>
        </w:r>
      </w:hyperlink>
    </w:p>
    <w:p w:rsidR="00D6167B" w:rsidRDefault="00D6167B"/>
    <w:p w:rsidR="00D6167B" w:rsidRDefault="00D6167B"/>
    <w:p w:rsidR="00D6167B" w:rsidRDefault="00D6167B"/>
    <w:sectPr w:rsidR="00D61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6535">
      <w:pPr>
        <w:spacing w:after="0" w:line="240" w:lineRule="auto"/>
      </w:pPr>
      <w:r>
        <w:separator/>
      </w:r>
    </w:p>
  </w:endnote>
  <w:endnote w:type="continuationSeparator" w:id="0">
    <w:p w:rsidR="00000000" w:rsidRDefault="007A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7B" w:rsidRDefault="007A6535">
      <w:pPr>
        <w:spacing w:after="0" w:line="240" w:lineRule="auto"/>
      </w:pPr>
      <w:r>
        <w:separator/>
      </w:r>
    </w:p>
  </w:footnote>
  <w:footnote w:type="continuationSeparator" w:id="0">
    <w:p w:rsidR="00D6167B" w:rsidRDefault="007A6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Cambria" w:hAnsi="Cambria" w:cs="Times New Roman" w:hint="default"/>
        <w:sz w:val="22"/>
        <w:szCs w:val="22"/>
        <w:lang w:eastAsia="en-US"/>
      </w:rPr>
    </w:lvl>
  </w:abstractNum>
  <w:abstractNum w:abstractNumId="1" w15:restartNumberingAfterBreak="0">
    <w:nsid w:val="02052144"/>
    <w:multiLevelType w:val="hybridMultilevel"/>
    <w:tmpl w:val="D51C19C0"/>
    <w:lvl w:ilvl="0" w:tplc="8B12CA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7B"/>
    <w:rsid w:val="007A6535"/>
    <w:rsid w:val="00C133B8"/>
    <w:rsid w:val="00D6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E5A8E-02CA-409A-A46D-2A120E35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Arial" w:hAnsi="Arial" w:cs="Arial"/>
      <w:color w:val="000000"/>
      <w:sz w:val="24"/>
      <w:szCs w:val="24"/>
    </w:r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ac@ac-lyon.fr" TargetMode="External"/><Relationship Id="rId3" Type="http://schemas.openxmlformats.org/officeDocument/2006/relationships/settings" Target="settings.xml"/><Relationship Id="rId7" Type="http://schemas.openxmlformats.org/officeDocument/2006/relationships/hyperlink" Target="mailto:celine.fayet@mairie-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vperrin3</dc:creator>
  <cp:keywords/>
  <dc:description/>
  <cp:lastModifiedBy>FAYET Céline</cp:lastModifiedBy>
  <cp:revision>5</cp:revision>
  <dcterms:created xsi:type="dcterms:W3CDTF">2020-11-20T15:07:00Z</dcterms:created>
  <dcterms:modified xsi:type="dcterms:W3CDTF">2021-06-04T12:45:00Z</dcterms:modified>
</cp:coreProperties>
</file>